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R4-2</w:t>
      </w:r>
      <w:r>
        <w:rPr>
          <w:rFonts w:hint="eastAsia" w:eastAsia="宋体"/>
          <w:b/>
          <w:sz w:val="24"/>
          <w:szCs w:val="24"/>
          <w:highlight w:val="none"/>
          <w:lang w:val="en-US" w:eastAsia="zh-CN"/>
        </w:rPr>
        <w:t>510168</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Bengaluru,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RAN4 impacts for RRM measurement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RAN4 impacts for RRM measurement prediction</w:t>
      </w:r>
      <w:r>
        <w:rPr>
          <w:rFonts w:hint="eastAsia" w:ascii="Times New Roman" w:hAnsi="Times New Roman"/>
          <w:sz w:val="20"/>
          <w:szCs w:val="20"/>
        </w:rPr>
        <w:t>.</w:t>
      </w:r>
    </w:p>
    <w:p w14:paraId="17263EFA">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2"/>
      <w:bookmarkStart w:id="8"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B5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734552">
            <w:pPr>
              <w:rPr>
                <w:rFonts w:hint="default" w:ascii="Times New Roman" w:hAnsi="Times New Roman" w:eastAsia="MS Mincho" w:cs="Times New Roman"/>
                <w:b/>
                <w:bCs/>
                <w:sz w:val="20"/>
                <w:szCs w:val="20"/>
                <w:highlight w:val="none"/>
                <w:u w:val="single"/>
                <w:lang w:eastAsia="zh-CN"/>
              </w:rPr>
            </w:pPr>
            <w:r>
              <w:rPr>
                <w:rFonts w:hint="default" w:ascii="Times New Roman" w:hAnsi="Times New Roman" w:eastAsia="MS Mincho" w:cs="Times New Roman"/>
                <w:b/>
                <w:bCs/>
                <w:sz w:val="20"/>
                <w:szCs w:val="20"/>
                <w:highlight w:val="none"/>
                <w:u w:val="single"/>
                <w:lang w:eastAsia="zh-CN"/>
              </w:rPr>
              <w:t>Issue 2-1-1: Relative RSRP accuracy definition</w:t>
            </w:r>
          </w:p>
          <w:p w14:paraId="3F68EF3B">
            <w:pPr>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Agreement:</w:t>
            </w:r>
          </w:p>
          <w:p w14:paraId="42D63FE1">
            <w:pPr>
              <w:pStyle w:val="12"/>
              <w:numPr>
                <w:ilvl w:val="0"/>
                <w:numId w:val="4"/>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intra-frequency L3-RSRP,</w:t>
            </w:r>
          </w:p>
          <w:p w14:paraId="305D6EBC">
            <w:pPr>
              <w:pStyle w:val="12"/>
              <w:numPr>
                <w:ilvl w:val="1"/>
                <w:numId w:val="4"/>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lang w:val="sv-SE"/>
              </w:rPr>
              <w:t>Relative accuracy of predicted L3-RSRP</w:t>
            </w:r>
            <w:r>
              <w:rPr>
                <w:rFonts w:hint="default" w:ascii="Times New Roman" w:hAnsi="Times New Roman" w:eastAsia="Yu Mincho" w:cs="Times New Roman"/>
                <w:sz w:val="20"/>
                <w:szCs w:val="20"/>
                <w:highlight w:val="none"/>
              </w:rPr>
              <w:t xml:space="preserve"> = (reported predicted L3-RSRP of cell 1 – reported RSRP of cell 2) – (ground truth of RSRP of cell 1 – ground truth of RSRP of cell 2), </w:t>
            </w:r>
          </w:p>
          <w:p w14:paraId="0B6DED87">
            <w:pPr>
              <w:pStyle w:val="12"/>
              <w:numPr>
                <w:ilvl w:val="2"/>
                <w:numId w:val="4"/>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cell 1 and cell 2 are on the same frequency</w:t>
            </w:r>
          </w:p>
          <w:p w14:paraId="133E159C">
            <w:pPr>
              <w:pStyle w:val="12"/>
              <w:numPr>
                <w:ilvl w:val="2"/>
                <w:numId w:val="4"/>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the reported RSRP of cell2 can be measured or predicted.</w:t>
            </w:r>
          </w:p>
          <w:p w14:paraId="4FCFB2AD">
            <w:pPr>
              <w:pStyle w:val="12"/>
              <w:numPr>
                <w:ilvl w:val="2"/>
                <w:numId w:val="4"/>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FFS on </w:t>
            </w:r>
            <w:r>
              <w:rPr>
                <w:rFonts w:hint="default" w:ascii="Times New Roman" w:hAnsi="Times New Roman" w:eastAsia="Yu Mincho" w:cs="Times New Roman"/>
                <w:sz w:val="20"/>
                <w:szCs w:val="20"/>
                <w:highlight w:val="none"/>
                <w:u w:val="single"/>
              </w:rPr>
              <w:t>whether and</w:t>
            </w:r>
            <w:r>
              <w:rPr>
                <w:rFonts w:hint="default" w:ascii="Times New Roman" w:hAnsi="Times New Roman" w:eastAsia="Yu Mincho" w:cs="Times New Roman"/>
                <w:sz w:val="20"/>
                <w:szCs w:val="20"/>
                <w:highlight w:val="none"/>
              </w:rPr>
              <w:t xml:space="preserve"> how to consider time difference between the </w:t>
            </w:r>
            <w:r>
              <w:rPr>
                <w:rFonts w:hint="default" w:ascii="Times New Roman" w:hAnsi="Times New Roman" w:eastAsia="Yu Mincho" w:cs="Times New Roman"/>
                <w:sz w:val="20"/>
                <w:szCs w:val="20"/>
                <w:highlight w:val="none"/>
                <w:u w:val="single"/>
              </w:rPr>
              <w:t>two reported RSRPs when applying the definition of the relative RSRP accuracy</w:t>
            </w:r>
          </w:p>
          <w:p w14:paraId="6E0668BE">
            <w:pPr>
              <w:pStyle w:val="12"/>
              <w:numPr>
                <w:ilvl w:val="1"/>
                <w:numId w:val="4"/>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Relative RSRP accuracy for Beam level measurements is FFS during WI phase depending upon RAN2 progress.</w:t>
            </w:r>
          </w:p>
          <w:p w14:paraId="06ED2F52">
            <w:pPr>
              <w:pStyle w:val="12"/>
              <w:numPr>
                <w:ilvl w:val="0"/>
                <w:numId w:val="4"/>
              </w:numPr>
              <w:snapToGrid w:val="0"/>
              <w:spacing w:after="120"/>
              <w:ind w:hanging="357"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inter-frequency L3-RSRP,</w:t>
            </w:r>
          </w:p>
          <w:p w14:paraId="543D1EA6">
            <w:pPr>
              <w:pStyle w:val="12"/>
              <w:numPr>
                <w:ilvl w:val="1"/>
                <w:numId w:val="4"/>
              </w:numPr>
              <w:snapToGrid w:val="0"/>
              <w:spacing w:after="120"/>
              <w:ind w:hanging="357" w:firstLineChars="0"/>
              <w:textAlignment w:val="auto"/>
              <w:rPr>
                <w:rFonts w:hint="default" w:ascii="Times New Roman" w:hAnsi="Times New Roman" w:cs="Times New Roman"/>
                <w:sz w:val="20"/>
                <w:szCs w:val="20"/>
                <w:highlight w:val="none"/>
                <w:lang w:eastAsia="zh-CN"/>
              </w:rPr>
            </w:pPr>
            <w:r>
              <w:rPr>
                <w:rFonts w:hint="default" w:ascii="Times New Roman" w:hAnsi="Times New Roman" w:eastAsia="Yu Mincho" w:cs="Times New Roman"/>
                <w:sz w:val="20"/>
                <w:szCs w:val="20"/>
                <w:highlight w:val="none"/>
                <w:lang w:val="sv-SE"/>
              </w:rPr>
              <w:t>Relative accuracy of predicted L3-RSRP</w:t>
            </w:r>
            <w:r>
              <w:rPr>
                <w:rFonts w:hint="default" w:ascii="Times New Roman" w:hAnsi="Times New Roman" w:eastAsia="Yu Mincho" w:cs="Times New Roman"/>
                <w:sz w:val="20"/>
                <w:szCs w:val="20"/>
                <w:highlight w:val="none"/>
              </w:rPr>
              <w:t xml:space="preserve"> = (reported predicted L3-RSRP of cell 1 – reported RSRP of cell 2) – (ground truth of RSRP of cell 1 – ground truth of RSRP of cell 2), </w:t>
            </w:r>
          </w:p>
          <w:p w14:paraId="47CDB98B">
            <w:pPr>
              <w:pStyle w:val="12"/>
              <w:numPr>
                <w:ilvl w:val="2"/>
                <w:numId w:val="4"/>
              </w:numPr>
              <w:snapToGrid w:val="0"/>
              <w:spacing w:after="120"/>
              <w:ind w:firstLineChars="0"/>
              <w:textAlignment w:val="auto"/>
              <w:rPr>
                <w:rFonts w:hint="default" w:ascii="Times New Roman" w:hAnsi="Times New Roman" w:cs="Times New Roman"/>
                <w:sz w:val="20"/>
                <w:szCs w:val="20"/>
                <w:highlight w:val="none"/>
                <w:lang w:eastAsia="zh-CN"/>
              </w:rPr>
            </w:pPr>
            <w:r>
              <w:rPr>
                <w:rFonts w:hint="default" w:ascii="Times New Roman" w:hAnsi="Times New Roman" w:eastAsia="Yu Mincho" w:cs="Times New Roman"/>
                <w:sz w:val="20"/>
                <w:szCs w:val="20"/>
                <w:highlight w:val="none"/>
              </w:rPr>
              <w:t>cell 2 is on a different frequency than cell 1 but in the same FR as cell 1</w:t>
            </w:r>
          </w:p>
          <w:p w14:paraId="3A53F146">
            <w:pPr>
              <w:pStyle w:val="12"/>
              <w:numPr>
                <w:ilvl w:val="2"/>
                <w:numId w:val="4"/>
              </w:numPr>
              <w:snapToGrid w:val="0"/>
              <w:spacing w:after="120"/>
              <w:ind w:hanging="357" w:firstLineChars="0"/>
              <w:textAlignment w:val="auto"/>
              <w:rPr>
                <w:rFonts w:hint="default" w:ascii="Times New Roman" w:hAnsi="Times New Roman" w:cs="Times New Roman"/>
                <w:sz w:val="20"/>
                <w:szCs w:val="20"/>
                <w:highlight w:val="none"/>
                <w:lang w:eastAsia="zh-CN"/>
              </w:rPr>
            </w:pPr>
            <w:r>
              <w:rPr>
                <w:rFonts w:hint="default" w:ascii="Times New Roman" w:hAnsi="Times New Roman" w:eastAsia="Yu Mincho" w:cs="Times New Roman"/>
                <w:sz w:val="20"/>
                <w:szCs w:val="20"/>
                <w:highlight w:val="none"/>
              </w:rPr>
              <w:t>the reported RSRP of cell2 can be measured or predicted.</w:t>
            </w:r>
          </w:p>
          <w:p w14:paraId="6D0C943B">
            <w:pPr>
              <w:pStyle w:val="12"/>
              <w:numPr>
                <w:ilvl w:val="2"/>
                <w:numId w:val="4"/>
              </w:numPr>
              <w:snapToGrid w:val="0"/>
              <w:spacing w:after="120"/>
              <w:ind w:firstLineChars="0"/>
              <w:textAlignment w:val="auto"/>
              <w:rPr>
                <w:rFonts w:hint="default" w:ascii="Times New Roman" w:hAnsi="Times New Roman" w:cs="Times New Roman"/>
                <w:b/>
                <w:bCs w:val="0"/>
                <w:i/>
                <w:iCs w:val="0"/>
                <w:sz w:val="20"/>
                <w:szCs w:val="20"/>
                <w:highlight w:val="none"/>
                <w:vertAlign w:val="baseline"/>
                <w:lang w:val="en-US" w:eastAsia="zh-CN"/>
              </w:rPr>
            </w:pPr>
            <w:r>
              <w:rPr>
                <w:rFonts w:hint="default" w:ascii="Times New Roman" w:hAnsi="Times New Roman" w:eastAsia="Yu Mincho" w:cs="Times New Roman"/>
                <w:sz w:val="20"/>
                <w:szCs w:val="20"/>
                <w:highlight w:val="none"/>
              </w:rPr>
              <w:t xml:space="preserve">FFS on </w:t>
            </w:r>
            <w:r>
              <w:rPr>
                <w:rFonts w:hint="default" w:ascii="Times New Roman" w:hAnsi="Times New Roman" w:eastAsia="Yu Mincho" w:cs="Times New Roman"/>
                <w:sz w:val="20"/>
                <w:szCs w:val="20"/>
                <w:highlight w:val="none"/>
                <w:u w:val="single"/>
              </w:rPr>
              <w:t>whether and</w:t>
            </w:r>
            <w:r>
              <w:rPr>
                <w:rFonts w:hint="default" w:ascii="Times New Roman" w:hAnsi="Times New Roman" w:eastAsia="Yu Mincho" w:cs="Times New Roman"/>
                <w:sz w:val="20"/>
                <w:szCs w:val="20"/>
                <w:highlight w:val="none"/>
              </w:rPr>
              <w:t xml:space="preserve"> how to consider time difference between the </w:t>
            </w:r>
            <w:r>
              <w:rPr>
                <w:rFonts w:hint="default" w:ascii="Times New Roman" w:hAnsi="Times New Roman" w:eastAsia="Yu Mincho" w:cs="Times New Roman"/>
                <w:sz w:val="20"/>
                <w:szCs w:val="20"/>
                <w:highlight w:val="none"/>
                <w:u w:val="single"/>
              </w:rPr>
              <w:t>two reported RSRPs when applying the definition of the relative RSRP accuracy</w:t>
            </w:r>
          </w:p>
        </w:tc>
      </w:tr>
    </w:tbl>
    <w:p w14:paraId="7F23957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p>
    <w:p w14:paraId="412FF603">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宋体" w:cs="Times New Roman"/>
          <w:sz w:val="20"/>
          <w:szCs w:val="20"/>
          <w:highlight w:val="none"/>
          <w:u w:val="none"/>
          <w:lang w:val="en-US" w:eastAsia="zh-CN"/>
        </w:rPr>
      </w:pPr>
      <w:r>
        <w:rPr>
          <w:rFonts w:hint="eastAsia" w:ascii="Times New Roman" w:hAnsi="Times New Roman" w:eastAsia="等线" w:cs="Times New Roman"/>
          <w:bCs/>
          <w:iCs/>
          <w:sz w:val="20"/>
          <w:szCs w:val="20"/>
          <w:u w:val="none"/>
          <w:lang w:val="en-US" w:eastAsia="zh-CN"/>
        </w:rPr>
        <w:t xml:space="preserve">One of the FFS is </w:t>
      </w:r>
      <w:r>
        <w:rPr>
          <w:rFonts w:hint="default" w:ascii="Times New Roman" w:hAnsi="Times New Roman" w:eastAsia="Yu Mincho" w:cs="Times New Roman"/>
          <w:sz w:val="20"/>
          <w:szCs w:val="20"/>
          <w:highlight w:val="none"/>
          <w:u w:val="none"/>
        </w:rPr>
        <w:t>whether and how to consider time difference between the two reported RSRPs when applying the definition of the relative RSRP accuracy</w:t>
      </w:r>
      <w:r>
        <w:rPr>
          <w:rFonts w:hint="eastAsia" w:ascii="Times New Roman" w:hAnsi="Times New Roman" w:eastAsia="宋体" w:cs="Times New Roman"/>
          <w:sz w:val="20"/>
          <w:szCs w:val="20"/>
          <w:highlight w:val="none"/>
          <w:u w:val="none"/>
          <w:lang w:val="en-US" w:eastAsia="zh-CN"/>
        </w:rPr>
        <w:t xml:space="preserve">. We understand the motivation </w:t>
      </w:r>
      <w:r>
        <w:rPr>
          <w:rFonts w:hint="eastAsia" w:ascii="Times New Roman" w:hAnsi="Times New Roman" w:cs="Times New Roman"/>
          <w:sz w:val="20"/>
          <w:szCs w:val="20"/>
          <w:highlight w:val="none"/>
          <w:u w:val="none"/>
          <w:lang w:val="en-US" w:eastAsia="zh-CN"/>
        </w:rPr>
        <w:t xml:space="preserve">is </w:t>
      </w:r>
      <w:r>
        <w:rPr>
          <w:rFonts w:hint="eastAsia" w:ascii="Times New Roman" w:hAnsi="Times New Roman" w:eastAsia="宋体" w:cs="Times New Roman"/>
          <w:sz w:val="20"/>
          <w:szCs w:val="20"/>
          <w:highlight w:val="none"/>
          <w:u w:val="none"/>
          <w:lang w:val="en-US" w:eastAsia="zh-CN"/>
        </w:rPr>
        <w:t xml:space="preserve">that the </w:t>
      </w:r>
      <w:r>
        <w:rPr>
          <w:rFonts w:hint="default" w:ascii="Times New Roman" w:hAnsi="Times New Roman" w:eastAsia="Yu Mincho" w:cs="Times New Roman"/>
          <w:sz w:val="20"/>
          <w:szCs w:val="20"/>
          <w:highlight w:val="none"/>
          <w:u w:val="none"/>
        </w:rPr>
        <w:t>time difference between the two reported RSRPs</w:t>
      </w:r>
      <w:r>
        <w:rPr>
          <w:rFonts w:hint="eastAsia" w:ascii="Times New Roman" w:hAnsi="Times New Roman" w:eastAsia="宋体" w:cs="Times New Roman"/>
          <w:sz w:val="20"/>
          <w:szCs w:val="20"/>
          <w:highlight w:val="none"/>
          <w:u w:val="none"/>
          <w:lang w:val="en-US" w:eastAsia="zh-CN"/>
        </w:rPr>
        <w:t xml:space="preserve"> may impact the performance. But we </w:t>
      </w:r>
      <w:r>
        <w:rPr>
          <w:rFonts w:hint="eastAsia" w:ascii="Times New Roman" w:hAnsi="Times New Roman" w:cs="Times New Roman"/>
          <w:sz w:val="20"/>
          <w:szCs w:val="20"/>
          <w:highlight w:val="none"/>
          <w:u w:val="none"/>
          <w:lang w:val="en-US" w:eastAsia="zh-CN"/>
        </w:rPr>
        <w:t xml:space="preserve">do not think need to consider it in the definition. </w:t>
      </w:r>
      <w:r>
        <w:rPr>
          <w:rFonts w:hint="eastAsia" w:ascii="Times New Roman" w:hAnsi="Times New Roman" w:eastAsia="宋体" w:cs="Times New Roman"/>
          <w:sz w:val="20"/>
          <w:szCs w:val="20"/>
          <w:highlight w:val="none"/>
          <w:u w:val="none"/>
          <w:lang w:val="en-US" w:eastAsia="zh-CN"/>
        </w:rPr>
        <w:t xml:space="preserve">Firstly, the relative RSRP accuracy definition is generic, while whether there is </w:t>
      </w:r>
      <w:r>
        <w:rPr>
          <w:rFonts w:hint="default" w:ascii="Times New Roman" w:hAnsi="Times New Roman" w:eastAsia="Yu Mincho" w:cs="Times New Roman"/>
          <w:sz w:val="20"/>
          <w:szCs w:val="20"/>
          <w:highlight w:val="none"/>
          <w:u w:val="none"/>
        </w:rPr>
        <w:t xml:space="preserve">time difference </w:t>
      </w:r>
      <w:r>
        <w:rPr>
          <w:rFonts w:hint="eastAsia" w:ascii="Times New Roman" w:hAnsi="Times New Roman" w:eastAsia="宋体" w:cs="Times New Roman"/>
          <w:sz w:val="20"/>
          <w:szCs w:val="20"/>
          <w:highlight w:val="none"/>
          <w:u w:val="none"/>
          <w:lang w:val="en-US" w:eastAsia="zh-CN"/>
        </w:rPr>
        <w:t xml:space="preserve">issue is case by case. The </w:t>
      </w:r>
      <w:r>
        <w:rPr>
          <w:rFonts w:hint="default" w:ascii="Times New Roman" w:hAnsi="Times New Roman" w:eastAsia="Yu Mincho" w:cs="Times New Roman"/>
          <w:sz w:val="20"/>
          <w:szCs w:val="20"/>
          <w:highlight w:val="none"/>
          <w:u w:val="none"/>
        </w:rPr>
        <w:t xml:space="preserve">time difference </w:t>
      </w:r>
      <w:r>
        <w:rPr>
          <w:rFonts w:hint="eastAsia" w:ascii="Times New Roman" w:hAnsi="Times New Roman" w:eastAsia="宋体" w:cs="Times New Roman"/>
          <w:sz w:val="20"/>
          <w:szCs w:val="20"/>
          <w:highlight w:val="none"/>
          <w:u w:val="none"/>
          <w:lang w:val="en-US" w:eastAsia="zh-CN"/>
        </w:rPr>
        <w:t>issue</w:t>
      </w:r>
      <w:r>
        <w:rPr>
          <w:rFonts w:hint="eastAsia" w:ascii="Times New Roman" w:hAnsi="Times New Roman" w:cs="Times New Roman"/>
          <w:sz w:val="20"/>
          <w:szCs w:val="20"/>
          <w:highlight w:val="none"/>
          <w:u w:val="none"/>
          <w:lang w:val="en-US" w:eastAsia="zh-CN"/>
        </w:rPr>
        <w:t xml:space="preserve"> between two predicted RSRPs may be not so severe f</w:t>
      </w:r>
      <w:r>
        <w:rPr>
          <w:rFonts w:hint="eastAsia" w:ascii="Times New Roman" w:hAnsi="Times New Roman" w:eastAsia="宋体" w:cs="Times New Roman"/>
          <w:sz w:val="20"/>
          <w:szCs w:val="20"/>
          <w:highlight w:val="none"/>
          <w:u w:val="none"/>
          <w:lang w:val="en-US" w:eastAsia="zh-CN"/>
        </w:rPr>
        <w:t xml:space="preserve">or frequency domain prediction </w:t>
      </w:r>
      <w:r>
        <w:rPr>
          <w:rFonts w:hint="eastAsia" w:ascii="Times New Roman" w:hAnsi="Times New Roman" w:cs="Times New Roman"/>
          <w:sz w:val="20"/>
          <w:szCs w:val="20"/>
          <w:highlight w:val="none"/>
          <w:u w:val="none"/>
          <w:lang w:val="en-US" w:eastAsia="zh-CN"/>
        </w:rPr>
        <w:t>if cluster based approach is in use</w:t>
      </w:r>
      <w:r>
        <w:rPr>
          <w:rFonts w:hint="eastAsia" w:ascii="Times New Roman" w:hAnsi="Times New Roman" w:eastAsia="宋体" w:cs="Times New Roman"/>
          <w:sz w:val="20"/>
          <w:szCs w:val="20"/>
          <w:highlight w:val="none"/>
          <w:u w:val="none"/>
          <w:lang w:val="en-US" w:eastAsia="zh-CN"/>
        </w:rPr>
        <w:t xml:space="preserve">. Secondly, </w:t>
      </w:r>
      <w:r>
        <w:rPr>
          <w:rFonts w:hint="eastAsia" w:ascii="Times New Roman" w:hAnsi="Times New Roman" w:cs="Times New Roman"/>
          <w:sz w:val="20"/>
          <w:szCs w:val="20"/>
          <w:highlight w:val="none"/>
          <w:u w:val="none"/>
          <w:lang w:val="en-US" w:eastAsia="zh-CN"/>
        </w:rPr>
        <w:t>even if there is time difference between two reported  RSRPs, not sure its impact. Taking legacy measurement as an example, there is time difference between two reported measured RSRPs for non-AI measurement, but the time difference between two reported measurement results are not considered for legacy relative RSRP definition</w:t>
      </w:r>
      <w:r>
        <w:rPr>
          <w:rFonts w:hint="eastAsia" w:ascii="Times New Roman" w:hAnsi="Times New Roman" w:eastAsia="宋体" w:cs="Times New Roman"/>
          <w:sz w:val="20"/>
          <w:szCs w:val="20"/>
          <w:highlight w:val="none"/>
          <w:u w:val="none"/>
          <w:lang w:val="en-US" w:eastAsia="zh-CN"/>
        </w:rPr>
        <w:t>.</w:t>
      </w:r>
      <w:r>
        <w:rPr>
          <w:rFonts w:hint="eastAsia" w:ascii="Times New Roman" w:hAnsi="Times New Roman" w:cs="Times New Roman"/>
          <w:sz w:val="20"/>
          <w:szCs w:val="20"/>
          <w:highlight w:val="none"/>
          <w:u w:val="none"/>
          <w:lang w:val="en-US" w:eastAsia="zh-CN"/>
        </w:rPr>
        <w:t xml:space="preserve"> If it is necessary, the time difference between the two reported RSRPs can be consdiered in the test design. </w:t>
      </w:r>
    </w:p>
    <w:p w14:paraId="79ECC129">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cs="Times New Roman"/>
          <w:b/>
          <w:bCs/>
          <w:i/>
          <w:iCs/>
          <w:sz w:val="20"/>
          <w:szCs w:val="20"/>
          <w:highlight w:val="none"/>
          <w:u w:val="none"/>
          <w:lang w:val="en-US" w:eastAsia="zh-CN"/>
        </w:rPr>
      </w:pPr>
      <w:r>
        <w:rPr>
          <w:rFonts w:hint="eastAsia" w:ascii="Times New Roman" w:hAnsi="Times New Roman" w:eastAsia="宋体" w:cs="Times New Roman"/>
          <w:b/>
          <w:bCs/>
          <w:i/>
          <w:iCs/>
          <w:sz w:val="20"/>
          <w:szCs w:val="20"/>
          <w:highlight w:val="none"/>
          <w:u w:val="none"/>
          <w:lang w:val="en-US" w:eastAsia="zh-CN"/>
        </w:rPr>
        <w:t xml:space="preserve">Proposal 1: it is proposed not to consider the time difference between the two reported RSRPs in the definition of relative RSRP accuracy. </w:t>
      </w:r>
      <w:r>
        <w:rPr>
          <w:rFonts w:hint="eastAsia" w:ascii="Times New Roman" w:hAnsi="Times New Roman" w:cs="Times New Roman"/>
          <w:b/>
          <w:bCs/>
          <w:i/>
          <w:iCs/>
          <w:sz w:val="20"/>
          <w:szCs w:val="20"/>
          <w:highlight w:val="none"/>
          <w:u w:val="none"/>
          <w:lang w:val="en-US" w:eastAsia="zh-CN"/>
        </w:rPr>
        <w:t>If needed, t</w:t>
      </w:r>
      <w:r>
        <w:rPr>
          <w:rFonts w:hint="eastAsia" w:ascii="Times New Roman" w:hAnsi="Times New Roman" w:eastAsia="宋体" w:cs="Times New Roman"/>
          <w:b/>
          <w:bCs/>
          <w:i/>
          <w:iCs/>
          <w:sz w:val="20"/>
          <w:szCs w:val="20"/>
          <w:highlight w:val="none"/>
          <w:u w:val="none"/>
          <w:lang w:val="en-US" w:eastAsia="zh-CN"/>
        </w:rPr>
        <w:t>he time difference between the two reported RSRPs</w:t>
      </w:r>
      <w:r>
        <w:rPr>
          <w:rFonts w:hint="eastAsia" w:ascii="Times New Roman" w:hAnsi="Times New Roman" w:cs="Times New Roman"/>
          <w:b/>
          <w:bCs/>
          <w:i/>
          <w:iCs/>
          <w:sz w:val="20"/>
          <w:szCs w:val="20"/>
          <w:highlight w:val="none"/>
          <w:u w:val="none"/>
          <w:lang w:val="en-US" w:eastAsia="zh-CN"/>
        </w:rPr>
        <w:t xml:space="preserve"> can be consdiered in the test design.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89D9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44F57C1">
            <w:pPr>
              <w:rPr>
                <w:rFonts w:hint="default" w:ascii="Times New Roman" w:hAnsi="Times New Roman" w:eastAsia="MS Mincho" w:cs="Times New Roman"/>
                <w:b/>
                <w:bCs/>
                <w:sz w:val="20"/>
                <w:szCs w:val="20"/>
                <w:highlight w:val="none"/>
                <w:u w:val="single"/>
                <w:lang w:val="en-US" w:eastAsia="zh-CN"/>
              </w:rPr>
            </w:pPr>
            <w:r>
              <w:rPr>
                <w:rFonts w:hint="default" w:ascii="Times New Roman" w:hAnsi="Times New Roman" w:eastAsia="MS Mincho" w:cs="Times New Roman"/>
                <w:b/>
                <w:bCs/>
                <w:sz w:val="20"/>
                <w:szCs w:val="20"/>
                <w:highlight w:val="none"/>
                <w:u w:val="single"/>
                <w:lang w:val="en-US" w:eastAsia="zh-CN"/>
              </w:rPr>
              <w:t xml:space="preserve">Issue 2-2: Accuracy requirements for the predicted RSRPs </w:t>
            </w:r>
          </w:p>
          <w:p w14:paraId="644F57C2">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44F57C3">
            <w:pPr>
              <w:pStyle w:val="12"/>
              <w:numPr>
                <w:ilvl w:val="1"/>
                <w:numId w:val="4"/>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1 (Ericsson): Predicted measurements should at least meet the accuracy requirements that are defined for the non-AI/ML based RRM measurement reporting for mobility purposes.</w:t>
            </w:r>
          </w:p>
          <w:p w14:paraId="644F57C4">
            <w:pPr>
              <w:pStyle w:val="12"/>
              <w:numPr>
                <w:ilvl w:val="1"/>
                <w:numId w:val="4"/>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2 (Nokia): For temporal domain Case-B prediction, RAN4 may consider accuracy performance requirements similar to those of the legacy relative and absolute accuracy performance defined for measurement.</w:t>
            </w:r>
          </w:p>
          <w:p w14:paraId="1CF0A30A">
            <w:pPr>
              <w:pStyle w:val="12"/>
              <w:numPr>
                <w:ilvl w:val="1"/>
                <w:numId w:val="4"/>
              </w:numPr>
              <w:overflowPunct/>
              <w:autoSpaceDE/>
              <w:autoSpaceDN/>
              <w:adjustRightInd/>
              <w:spacing w:after="120"/>
              <w:ind w:firstLineChars="0"/>
              <w:textAlignment w:val="auto"/>
              <w:rPr>
                <w:rFonts w:hint="default" w:ascii="Times New Roman" w:hAnsi="Times New Roman" w:eastAsia="等线" w:cs="Times New Roman"/>
                <w:b/>
                <w:bCs/>
                <w:i/>
                <w:iCs/>
                <w:sz w:val="20"/>
                <w:szCs w:val="20"/>
                <w:vertAlign w:val="baseline"/>
                <w:lang w:val="en-US" w:eastAsia="zh-CN"/>
              </w:rPr>
            </w:pPr>
            <w:r>
              <w:rPr>
                <w:rFonts w:hint="default" w:ascii="Times New Roman" w:hAnsi="Times New Roman" w:eastAsia="宋体" w:cs="Times New Roman"/>
                <w:sz w:val="20"/>
                <w:szCs w:val="20"/>
                <w:lang w:eastAsia="zh-CN"/>
              </w:rPr>
              <w:t>Proposal 3 (ZTE): RAN4 should discuss whether to define separate prediction accuracy for each sub-use case or define one prediction accuracy requirement to cover 3 cell level sub-use cases.</w:t>
            </w:r>
          </w:p>
        </w:tc>
      </w:tr>
    </w:tbl>
    <w:p w14:paraId="27D0EE4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u w:val="none"/>
          <w:lang w:val="en-US" w:eastAsia="zh-CN"/>
        </w:rPr>
      </w:pPr>
      <w:r>
        <w:rPr>
          <w:rFonts w:hint="eastAsia" w:ascii="Times New Roman" w:hAnsi="Times New Roman" w:eastAsia="等线" w:cs="Times New Roman"/>
          <w:bCs/>
          <w:iCs/>
          <w:sz w:val="20"/>
          <w:szCs w:val="20"/>
          <w:u w:val="none"/>
          <w:lang w:val="en-US" w:eastAsia="zh-CN"/>
        </w:rPr>
        <w:t>In general, our view is that the accuracy requirements for predicted RSRP shall be no less than legacy accuracy requirements. From operator point of view, if the predicted results are worse than the legacy measured results, it will have impact on the network deployment, which is not preferred. In detail, this issue can be considered case by case. For the case with 2nd goal of enhancing performance, it shall be no worse than legacy requirements.</w:t>
      </w:r>
    </w:p>
    <w:p w14:paraId="04BEBBDE">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u w:val="none"/>
          <w:lang w:val="en-US" w:eastAsia="zh-CN"/>
        </w:rPr>
      </w:pPr>
      <w:r>
        <w:rPr>
          <w:rFonts w:hint="eastAsia" w:ascii="Times New Roman" w:hAnsi="Times New Roman" w:eastAsia="等线" w:cs="Times New Roman"/>
          <w:bCs/>
          <w:iCs/>
          <w:sz w:val="20"/>
          <w:szCs w:val="20"/>
          <w:u w:val="none"/>
          <w:lang w:val="en-US" w:eastAsia="zh-CN"/>
        </w:rPr>
        <w:t>For the case with 1st goal of reducing measurement overhead (MRRS，MRRT), it can be FFS. Our preference is that legacy accuracy requirements are baseline, but we are open for discussion.</w:t>
      </w:r>
    </w:p>
    <w:p w14:paraId="5B82054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
          <w:bCs w:val="0"/>
          <w:i/>
          <w:iCs w:val="0"/>
          <w:sz w:val="20"/>
          <w:szCs w:val="20"/>
          <w:u w:val="none"/>
          <w:lang w:val="en-US" w:eastAsia="zh-CN"/>
        </w:rPr>
      </w:pPr>
      <w:r>
        <w:rPr>
          <w:rFonts w:hint="eastAsia" w:ascii="Times New Roman" w:hAnsi="Times New Roman" w:eastAsia="等线" w:cs="Times New Roman"/>
          <w:b/>
          <w:bCs w:val="0"/>
          <w:i/>
          <w:iCs w:val="0"/>
          <w:sz w:val="20"/>
          <w:szCs w:val="20"/>
          <w:u w:val="none"/>
          <w:lang w:val="en-US" w:eastAsia="zh-CN"/>
        </w:rPr>
        <w:t>Proposal 2: it is proposed that the accuracy requirements for predicted RSRP is no less than legacy accuracy requirements.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331"/>
      </w:tblGrid>
      <w:tr w14:paraId="057D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CB75D0F">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
                <w:iCs w:val="0"/>
                <w:sz w:val="20"/>
                <w:szCs w:val="20"/>
                <w:u w:val="none"/>
                <w:vertAlign w:val="baseline"/>
                <w:lang w:val="en-US" w:eastAsia="zh-CN"/>
              </w:rPr>
            </w:pPr>
            <w:r>
              <w:rPr>
                <w:rFonts w:hint="default" w:ascii="Times New Roman" w:hAnsi="Times New Roman" w:cs="Times New Roman"/>
                <w:b/>
                <w:bCs/>
                <w:sz w:val="20"/>
                <w:szCs w:val="20"/>
                <w:lang w:val="en-US"/>
              </w:rPr>
              <w:t>Issue 2-4: Impacts of measurement error on prediction accuracy</w:t>
            </w:r>
          </w:p>
          <w:p w14:paraId="644F5878">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44F5879">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(vivo): On the impact of measurement errors, RAN4 to leverage the outcome of the error modeling approach in AI/ML for NR Air Interface. Specifically, the following error modelings can be as a baseline:</w:t>
            </w:r>
          </w:p>
          <w:p w14:paraId="644F587A">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BB error modeling: </w:t>
            </w:r>
          </w:p>
          <w:p w14:paraId="644F587B">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Link-level simulation approach is considered</w:t>
            </w:r>
          </w:p>
          <w:p w14:paraId="644F587C">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RF error, </w:t>
            </w:r>
          </w:p>
          <w:p w14:paraId="644F587D">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error modeling, the following two modelings can be the candidates. </w:t>
            </w:r>
          </w:p>
          <w:p w14:paraId="644F587E">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Alt 1: Uniform distribution</w:t>
            </w:r>
          </w:p>
          <w:p w14:paraId="644F587F">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Alt 2: Truncated Gaussian distribution</w:t>
            </w:r>
          </w:p>
          <w:p w14:paraId="644F588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RF error application, each of Tx beam is independent</w:t>
            </w:r>
          </w:p>
          <w:p w14:paraId="644F588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(Ericsson): Statistical model is used to only model RF error in the evaluations for impact of input measurement error on accuracy of predicted RRM measurements.</w:t>
            </w:r>
          </w:p>
          <w:p w14:paraId="644F5882">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RF error in dB for FR1 is characterized by Gaussian distribution with 〖μ=0,σ〗^2  = 2.5 truncated at ±2.5.</w:t>
            </w:r>
          </w:p>
          <w:p w14:paraId="644F5883">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RF error in dB for FR2 is characterized by Gaussian distribution with 〖μ=0,σ〗^2  = 4 truncated at ±4.</w:t>
            </w:r>
          </w:p>
          <w:p w14:paraId="644F5884">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(Nokia): In Study Item, RAN4 to collect analysis on potential modeling methods and at least capture the collected analysis in the TR.</w:t>
            </w:r>
          </w:p>
          <w:p w14:paraId="644F5885">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(Nokia): RAN4 to capture the following error modeling principles in the TR:</w:t>
            </w:r>
          </w:p>
          <w:p w14:paraId="644F5886">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RF and baseband measurement error modeling may be considered.</w:t>
            </w:r>
          </w:p>
          <w:p w14:paraId="644F5887">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A uniform or a Gaussian distribution can be used as a model for measurement error for RF and baseband. </w:t>
            </w:r>
          </w:p>
          <w:p w14:paraId="644F5888">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Alternative modeling approaches are not precluded and can be explored in the Work Item phase.</w:t>
            </w:r>
          </w:p>
          <w:p w14:paraId="644F5889">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5 (Qualcomm): RAN4 should not start simulation-based performance evaluation on measurement prediction due to measurement inaccuracy in the observation window during the study item phase. Instead, the group can further discuss additional aspects that might need to be taken into account in the WI phase, if approved, in addition to the outcome of the evaluations on AI/ML-based BM, e.g.</w:t>
            </w:r>
          </w:p>
          <w:p w14:paraId="644F588A">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Whether and how to accommodate the impact of measurement inaccuracies for a cluster-based approach.</w:t>
            </w:r>
          </w:p>
          <w:p w14:paraId="644F588B">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Whether and how to model the impact of imperfect RF calibration for inter-frequency RRM prediction.</w:t>
            </w:r>
          </w:p>
          <w:p w14:paraId="644F588C">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Whether different aspects need to be considered for Case A and Case B in intra-cell/intra-frequency RRM prediction.</w:t>
            </w:r>
          </w:p>
          <w:p w14:paraId="644F588D">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644F588E">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6 (OPPO): Consider the following options to model the measurement error: </w:t>
            </w:r>
          </w:p>
          <w:p w14:paraId="644F588F">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Option 1: For RF error, use the truncated Gaussian distribution under ±X dB; for baseband error, use the link level simulation assumptions to generate L3-RSRP difference as baseband error. </w:t>
            </w:r>
          </w:p>
          <w:p w14:paraId="644F589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Option 2: For RF and baseband error, use the truncated Gaussian distribution under ±X dB and ±Y dB, respectively. </w:t>
            </w:r>
          </w:p>
          <w:p w14:paraId="644F589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Option 3: For the sum of RF and baseband error, use the truncated Gaussian distribution under ±X dB. </w:t>
            </w:r>
          </w:p>
          <w:p w14:paraId="644F5892">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7 (LG Electronics): RAN4 to consider only Gaussian error model regardless what RF error model or BB error model is.</w:t>
            </w:r>
          </w:p>
          <w:p w14:paraId="644F5893">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8 (Xiaomi): RAN4 to study the factor and impact of measurement error on RRM prediction.</w:t>
            </w:r>
          </w:p>
          <w:p w14:paraId="644F5894">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9 (MediaTek): For AI mobility, in FR1, measurement error should be added as: </w:t>
            </w:r>
          </w:p>
          <w:p w14:paraId="644F589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BB error: </w:t>
            </w:r>
          </w:p>
          <w:p w14:paraId="644F5896">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Added independently per Tx beam per cell per measurement occasion according to the corresponding SINR.</w:t>
            </w:r>
          </w:p>
          <w:p w14:paraId="644F5897">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distribution of BB error under certain SINR is obtained through LLS assuming one shot measurement.</w:t>
            </w:r>
          </w:p>
          <w:p w14:paraId="644F5898">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RF error: </w:t>
            </w:r>
          </w:p>
          <w:p w14:paraId="644F5899">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Modelled as Gaussian distribution under ±3 dB RF error (〖μ=0,σ〗^2=3). </w:t>
            </w:r>
          </w:p>
          <w:p w14:paraId="644F589A">
            <w:pPr>
              <w:pStyle w:val="12"/>
              <w:numPr>
                <w:ilvl w:val="3"/>
                <w:numId w:val="4"/>
              </w:numPr>
              <w:spacing w:before="120" w:after="120"/>
              <w:ind w:firstLineChars="0"/>
              <w:rPr>
                <w:rFonts w:hint="default" w:ascii="Times New Roman" w:hAnsi="Times New Roman" w:cs="Times New Roman"/>
                <w:sz w:val="20"/>
                <w:szCs w:val="20"/>
              </w:rPr>
            </w:pPr>
            <w:r>
              <w:rPr>
                <w:rFonts w:hint="default" w:ascii="Times New Roman" w:hAnsi="Times New Roman" w:eastAsia="Yu Mincho" w:cs="Times New Roman"/>
                <w:sz w:val="20"/>
                <w:szCs w:val="20"/>
              </w:rPr>
              <w:t>A random RF error is generated for all the beams of the same frequency layer per SMTC.</w:t>
            </w:r>
          </w:p>
          <w:p w14:paraId="644F589B">
            <w:pPr>
              <w:pStyle w:val="12"/>
              <w:numPr>
                <w:ilvl w:val="1"/>
                <w:numId w:val="4"/>
              </w:numPr>
              <w:spacing w:before="120" w:after="120"/>
              <w:ind w:firstLineChars="0"/>
              <w:rPr>
                <w:rFonts w:hint="default" w:ascii="Times New Roman" w:hAnsi="Times New Roman" w:cs="Times New Roman"/>
                <w:sz w:val="20"/>
                <w:szCs w:val="20"/>
              </w:rPr>
            </w:pPr>
            <w:r>
              <w:rPr>
                <w:rFonts w:hint="default" w:ascii="Times New Roman" w:hAnsi="Times New Roman" w:eastAsia="Yu Mincho" w:cs="Times New Roman"/>
                <w:sz w:val="20"/>
                <w:szCs w:val="20"/>
              </w:rPr>
              <w:t>Proposal 10 (Apple): RAN4 to investigate the impact of measurement errors (RF and baseband) in AI/ML model input data on the accuracy of predicted measurements. Additionally, RAN4 should investigate whether RAN2 simulation results and conclusions regarding achievable prediction accuracy remain valid under such measurement errors for scenario 2.</w:t>
            </w:r>
          </w:p>
          <w:p w14:paraId="644F589C">
            <w:pPr>
              <w:pStyle w:val="12"/>
              <w:numPr>
                <w:ilvl w:val="1"/>
                <w:numId w:val="4"/>
              </w:numPr>
              <w:spacing w:before="120" w:after="120"/>
              <w:ind w:firstLineChars="0"/>
              <w:rPr>
                <w:rFonts w:hint="default" w:ascii="Times New Roman" w:hAnsi="Times New Roman" w:cs="Times New Roman"/>
                <w:sz w:val="20"/>
                <w:szCs w:val="20"/>
              </w:rPr>
            </w:pPr>
            <w:r>
              <w:rPr>
                <w:rFonts w:hint="default" w:ascii="Times New Roman" w:hAnsi="Times New Roman" w:eastAsia="Yu Mincho" w:cs="Times New Roman"/>
                <w:sz w:val="20"/>
                <w:szCs w:val="20"/>
              </w:rPr>
              <w:t>Proposal 11 (Apple): For the multi-link RSRP temporal-prediction extension of Scenario RAN4 to investigate the impact of cell dependent measurement errors (different SINRs and channel conditions) to the prediction accuracy of the AI/ML models (scenario #4)</w:t>
            </w:r>
          </w:p>
          <w:p w14:paraId="644F589D">
            <w:pPr>
              <w:pStyle w:val="12"/>
              <w:numPr>
                <w:ilvl w:val="1"/>
                <w:numId w:val="4"/>
              </w:numPr>
              <w:spacing w:before="120" w:after="120"/>
              <w:ind w:firstLineChars="0"/>
              <w:rPr>
                <w:rFonts w:hint="default" w:ascii="Times New Roman" w:hAnsi="Times New Roman" w:cs="Times New Roman"/>
                <w:sz w:val="20"/>
                <w:szCs w:val="20"/>
              </w:rPr>
            </w:pPr>
            <w:r>
              <w:rPr>
                <w:rFonts w:hint="default" w:ascii="Times New Roman" w:hAnsi="Times New Roman" w:eastAsia="Yu Mincho" w:cs="Times New Roman"/>
                <w:sz w:val="20"/>
                <w:szCs w:val="20"/>
              </w:rPr>
              <w:t>Proposal 12 (Apple): RAN4 to investigate the impact of measurement errors in the input data of AI/ML model on the accuracy of predicted measurements. RAN4 should leverage the simulation methodologies and evaluation results (from AI/ML BM Case 1) to assess how these measurement errors affect the accuracy of predictions related to mobility. RAN4 should validate any RAN2 conclusions in the presence of realistic measurements errors</w:t>
            </w:r>
          </w:p>
          <w:p w14:paraId="644F589E">
            <w:pPr>
              <w:pStyle w:val="12"/>
              <w:numPr>
                <w:ilvl w:val="1"/>
                <w:numId w:val="4"/>
              </w:numPr>
              <w:spacing w:before="120" w:after="120"/>
              <w:ind w:firstLineChars="0"/>
              <w:rPr>
                <w:rFonts w:hint="default" w:ascii="Times New Roman" w:hAnsi="Times New Roman" w:cs="Times New Roman"/>
                <w:sz w:val="20"/>
                <w:szCs w:val="20"/>
              </w:rPr>
            </w:pPr>
            <w:r>
              <w:rPr>
                <w:rFonts w:hint="default" w:ascii="Times New Roman" w:hAnsi="Times New Roman" w:eastAsia="Yu Mincho" w:cs="Times New Roman"/>
                <w:sz w:val="20"/>
                <w:szCs w:val="20"/>
              </w:rPr>
              <w:t>Proposal 13 (Apple): RAN4 to investigate modelling measurement errors as a function of SINR. This analysis must account for variations in propagation environments across serving and neighboring cells, as measurement errors are inherently influenced by cell-specific SINR conditions.</w:t>
            </w:r>
          </w:p>
          <w:p w14:paraId="21663752">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val="0"/>
                <w:i/>
                <w:iCs w:val="0"/>
                <w:sz w:val="20"/>
                <w:szCs w:val="20"/>
                <w:u w:val="none"/>
                <w:vertAlign w:val="baseline"/>
                <w:lang w:val="en-US" w:eastAsia="zh-CN"/>
              </w:rPr>
            </w:pPr>
          </w:p>
        </w:tc>
      </w:tr>
    </w:tbl>
    <w:p w14:paraId="21D98EC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
          <w:bCs w:val="0"/>
          <w:i/>
          <w:iCs w:val="0"/>
          <w:sz w:val="20"/>
          <w:szCs w:val="20"/>
          <w:u w:val="none"/>
          <w:lang w:val="en-US" w:eastAsia="zh-CN"/>
        </w:rPr>
      </w:pPr>
    </w:p>
    <w:p w14:paraId="6B54864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previous meeting, it was agreed that for AI based RRM measurement prediction in the SI, while RAN4 has not agreed yet on the exact error model(s) in the SI phase, RAN4 think RF and baseband errors on the measurements would impact the prediction accuracy. As for how to evaluate the impact due to measurement error, the discussion on AI beam prediction can be used as baseline. In detail, the BB error can be derived based on link level simulation assumption. And RF error can be modelled as truncated Gaussian distribution.</w:t>
      </w:r>
    </w:p>
    <w:p w14:paraId="2F03994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3: for impact on measurement error on prediction accuracy, the discussion on beam prediction can be used as baseline. In detail, the BB error can be derived based on link level simulation assumption, and RF error can be modelled as truncated Gaussian distribution.</w:t>
      </w:r>
    </w:p>
    <w:p w14:paraId="7E7537E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FR1, according to previous discussion, there are two alternatives. It was agreed on last meeting that during the SI, RAN4 to provide analysis on potential issue and possible solution to the two Alternatives. </w:t>
      </w:r>
    </w:p>
    <w:p w14:paraId="674668C3">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Alt 1: Ground truth for FR1 will be based on the transmitted or reception power </w:t>
      </w:r>
    </w:p>
    <w:p w14:paraId="01873D1F">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Alt 2: Ground truth for FR1 will be based on the reported measurement value under certain conditions </w:t>
      </w:r>
    </w:p>
    <w:p w14:paraId="4486D8B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Our initial consideration is to follow legay way to use transmitted power at TE side as ground truth. However, some issues are identified. </w:t>
      </w:r>
      <w:r>
        <w:rPr>
          <w:rFonts w:hint="eastAsia" w:ascii="Times New Roman" w:hAnsi="Times New Roman" w:eastAsia="等线"/>
          <w:bCs/>
          <w:iCs/>
          <w:sz w:val="20"/>
          <w:szCs w:val="20"/>
          <w:lang w:val="en-US" w:eastAsia="zh-CN"/>
        </w:rPr>
        <w:t xml:space="preserve">In legacy FR1 test case set up, no L3 filtering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However,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Based on above discussion, each alternative has pros can cons. From our point of view, it is slightly prefer alternative 1. To solve the issue, it can be assumed no L3 filtering in the test case. As for the impact due to L1 filtering, it can be further check whether it is possible to assume one filtering mechanism when TE derive the ground truth.</w:t>
      </w:r>
    </w:p>
    <w:p w14:paraId="31082829">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discussion on inter-frequency prediction , the impact of cluster approach is considered. Before we go to the impact, it is necessary to allign the understanding of cluster approach.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72A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31062A7">
            <w:pPr>
              <w:rPr>
                <w:rFonts w:hint="eastAsia" w:ascii="Times New Roman" w:hAnsi="Times New Roman" w:eastAsia="MS Mincho" w:cs="Times New Roman"/>
                <w:b/>
                <w:bCs/>
                <w:sz w:val="20"/>
                <w:szCs w:val="20"/>
                <w:u w:val="single"/>
                <w:lang w:val="en-US" w:eastAsia="zh-CN"/>
              </w:rPr>
            </w:pPr>
            <w:r>
              <w:rPr>
                <w:rFonts w:hint="eastAsia" w:ascii="Times New Roman" w:hAnsi="Times New Roman" w:eastAsia="MS Mincho" w:cs="Times New Roman"/>
                <w:b/>
                <w:bCs/>
                <w:sz w:val="20"/>
                <w:szCs w:val="20"/>
                <w:u w:val="single"/>
                <w:lang w:val="en-US" w:eastAsia="zh-CN"/>
              </w:rPr>
              <w:t xml:space="preserve">RAN4#114bis </w:t>
            </w:r>
          </w:p>
          <w:p w14:paraId="042C4C56">
            <w:pPr>
              <w:rPr>
                <w:rFonts w:hint="default" w:ascii="Times New Roman" w:hAnsi="Times New Roman" w:eastAsia="MS Mincho" w:cs="Times New Roman"/>
                <w:b/>
                <w:bCs/>
                <w:sz w:val="20"/>
                <w:szCs w:val="20"/>
                <w:u w:val="single"/>
                <w:lang w:eastAsia="zh-CN"/>
              </w:rPr>
            </w:pPr>
            <w:r>
              <w:rPr>
                <w:rFonts w:hint="default" w:ascii="Times New Roman" w:hAnsi="Times New Roman" w:eastAsia="MS Mincho" w:cs="Times New Roman"/>
                <w:b/>
                <w:bCs/>
                <w:sz w:val="20"/>
                <w:szCs w:val="20"/>
                <w:u w:val="single"/>
                <w:lang w:eastAsia="zh-CN"/>
              </w:rPr>
              <w:t>Issue 2-1-8: Inter-frequency prediction scenario</w:t>
            </w:r>
          </w:p>
          <w:p w14:paraId="25CA1BA4">
            <w:pPr>
              <w:tabs>
                <w:tab w:val="left" w:pos="840"/>
              </w:tabs>
              <w:spacing w:after="120"/>
              <w:rPr>
                <w:rFonts w:hint="default" w:ascii="Times New Roman" w:hAnsi="Times New Roman" w:cs="Times New Roman"/>
                <w:color w:val="000000" w:themeColor="text1"/>
                <w:sz w:val="20"/>
                <w:szCs w:val="20"/>
                <w:highlight w:val="none"/>
                <w:lang w:eastAsia="zh-CN"/>
                <w14:textFill>
                  <w14:solidFill>
                    <w14:schemeClr w14:val="tx1"/>
                  </w14:solidFill>
                </w14:textFill>
              </w:rPr>
            </w:pPr>
            <w:r>
              <w:rPr>
                <w:rFonts w:hint="default" w:ascii="Times New Roman" w:hAnsi="Times New Roman" w:cs="Times New Roman"/>
                <w:color w:val="000000" w:themeColor="text1"/>
                <w:sz w:val="20"/>
                <w:szCs w:val="20"/>
                <w:highlight w:val="none"/>
                <w:lang w:eastAsia="zh-CN"/>
                <w14:textFill>
                  <w14:solidFill>
                    <w14:schemeClr w14:val="tx1"/>
                  </w14:solidFill>
                </w14:textFill>
              </w:rPr>
              <w:t>Agreement:</w:t>
            </w:r>
          </w:p>
          <w:p w14:paraId="5593300E">
            <w:pPr>
              <w:numPr>
                <w:ilvl w:val="0"/>
                <w:numId w:val="4"/>
              </w:numPr>
              <w:spacing w:after="12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RAN4 to study the factors potentially impacting RSRP prediction accuracy for inter-frequency prediction scenario considering at least the following aspects: </w:t>
            </w:r>
          </w:p>
          <w:p w14:paraId="0AA75BE3">
            <w:pPr>
              <w:numPr>
                <w:ilvl w:val="1"/>
                <w:numId w:val="4"/>
              </w:numPr>
              <w:spacing w:after="12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the side condition of frequency prediction (e.g., EPRE difference)</w:t>
            </w:r>
          </w:p>
          <w:p w14:paraId="517CBBED">
            <w:pPr>
              <w:numPr>
                <w:ilvl w:val="1"/>
                <w:numId w:val="4"/>
              </w:numPr>
              <w:spacing w:after="12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the impact of correlation coefficient between measured and predicted frequency layers</w:t>
            </w:r>
          </w:p>
          <w:p w14:paraId="3942503C">
            <w:pPr>
              <w:numPr>
                <w:ilvl w:val="1"/>
                <w:numId w:val="4"/>
              </w:numPr>
              <w:spacing w:after="12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impact of cluster approach, e.g., </w:t>
            </w:r>
          </w:p>
          <w:p w14:paraId="400CDF2B">
            <w:pPr>
              <w:pStyle w:val="12"/>
              <w:numPr>
                <w:ilvl w:val="2"/>
                <w:numId w:val="4"/>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When measurement from single cell in one carrier frequency is used by the UE as an input to predict the RRM measurement for the intra-FR and co-located cell in another carrier frequency.</w:t>
            </w:r>
          </w:p>
          <w:p w14:paraId="1899E332">
            <w:pPr>
              <w:pStyle w:val="12"/>
              <w:numPr>
                <w:ilvl w:val="2"/>
                <w:numId w:val="4"/>
              </w:numPr>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highlight w:val="none"/>
              </w:rPr>
              <w:t>When measurement from a group of cells in one carrier frequency is used by the UE as an input to predict the RRM measurement for the intra-FR and co-located cell in another carrier frequency.</w:t>
            </w:r>
          </w:p>
        </w:tc>
      </w:tr>
    </w:tbl>
    <w:p w14:paraId="0AD64CE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18DB66EA">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RAN2 agreements, in cluster approach the model takes measurements from more than one cell as inputs. With this agreements, it means that the case that measurement from single cell in one carrier frequency is used by the UE as an input to predict the RRM measurement is not considerd.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32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0E7A7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in RAN2#128 meeting</w:t>
            </w:r>
          </w:p>
          <w:p w14:paraId="42315F3E">
            <w:pPr>
              <w:pStyle w:val="12"/>
              <w:keepNext w:val="0"/>
              <w:keepLines w:val="0"/>
              <w:pageBreakBefore w:val="0"/>
              <w:widowControl/>
              <w:numPr>
                <w:ilvl w:val="0"/>
                <w:numId w:val="6"/>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The prediction accuracy for intra-frequency temporal domain case B reduces as MRRT increases.  </w:t>
            </w:r>
          </w:p>
          <w:p w14:paraId="67E27EE5">
            <w:pPr>
              <w:pStyle w:val="12"/>
              <w:keepNext w:val="0"/>
              <w:keepLines w:val="0"/>
              <w:pageBreakBefore w:val="0"/>
              <w:widowControl/>
              <w:numPr>
                <w:ilvl w:val="0"/>
                <w:numId w:val="6"/>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 affects the performance.  </w:t>
            </w:r>
          </w:p>
          <w:p w14:paraId="1FBFBA7C">
            <w:pPr>
              <w:pStyle w:val="12"/>
              <w:keepNext w:val="0"/>
              <w:keepLines w:val="0"/>
              <w:pageBreakBefore w:val="0"/>
              <w:widowControl/>
              <w:numPr>
                <w:ilvl w:val="0"/>
                <w:numId w:val="6"/>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the inter-frequency prediction, the evaluation results show that the higher the correlation coefficient is between two frequency layers, the higher the prediction accuracy.   FFS on observations on low correlations.  </w:t>
            </w:r>
          </w:p>
          <w:p w14:paraId="2BCDE45B">
            <w:pPr>
              <w:pStyle w:val="12"/>
              <w:keepNext w:val="0"/>
              <w:keepLines w:val="0"/>
              <w:pageBreakBefore w:val="0"/>
              <w:widowControl/>
              <w:numPr>
                <w:ilvl w:val="0"/>
                <w:numId w:val="6"/>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inter-frequency, cluster as input (i.e. measurements from different cells as inputs )can improve the prediction accuracy than single cell as input.    For temporal domain, the gains are unclear.   RAN2 will focus on frequency domain for cluster based approach.   </w:t>
            </w:r>
          </w:p>
          <w:p w14:paraId="4074B5F2">
            <w:pPr>
              <w:pStyle w:val="12"/>
              <w:keepNext w:val="0"/>
              <w:keepLines w:val="0"/>
              <w:pageBreakBefore w:val="0"/>
              <w:widowControl/>
              <w:numPr>
                <w:ilvl w:val="0"/>
                <w:numId w:val="6"/>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highlight w:val="cyan"/>
                <w:vertAlign w:val="baseline"/>
                <w:lang w:val="en-US" w:eastAsia="zh-CN"/>
              </w:rPr>
              <w:t>In cluster approach the model takes measurements from more than one cell as inputs.</w:t>
            </w:r>
          </w:p>
        </w:tc>
      </w:tr>
    </w:tbl>
    <w:p w14:paraId="4017F15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035002C6">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4: for cluster approach, it is proposed to follow RAN2 agreements that model takes measurements from more than one cell as inputs. Not to consider the case that measurement from single cell in one carrier frequency is used as an model input.</w:t>
      </w:r>
    </w:p>
    <w:p w14:paraId="19B3C54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RAN2 agreed the KPIs about measurement reduction rate, which is defined in the temporal domain (called MRRT) by assuming same length of measurement time instances and spatial domain respectively(called MRRS). </w:t>
      </w:r>
    </w:p>
    <w:p w14:paraId="3E501A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191DBE0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35DB793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legacy, there is no RAN4 requirements on measurement reduction, whether to introduce related requirements for AI/ML based mobility can be further discussed.</w:t>
      </w:r>
    </w:p>
    <w:p w14:paraId="1E192C2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discuss whether to introduce RAN4 requirements about MRRT and MRRS.</w:t>
      </w:r>
    </w:p>
    <w:p w14:paraId="774D2B0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that the measurement delay requirements may also need to be newly defined for some scenarios. Scenario 3 is FR1 to FR1 inter-frequency inter-cell prediction, for example, prediction from low-frequency cell to high-frequency cell, which means that not all configured MOs need to be measuerd. The legacy measurement delay is scaled with the number of MOs, which need to be updated to only consider the actually measured frequency layers. As for the intra-frequency temporal domain prediction, e.g. case B, the lagacy measurement delay also need to be updated. In legacy, SMTC or MGRP is in use in the measurement delay requirements, while for tempory domain prediction, UE only measure subset of SMTC/MGRP, and predict the results of other measurement occasions. </w:t>
      </w:r>
    </w:p>
    <w:p w14:paraId="5A84EF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RRM measurement prediction, the measurement delay requirements need to be defined/updated</w:t>
      </w:r>
    </w:p>
    <w:p w14:paraId="1F944F9C">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523916BB">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75DB2688">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 </w:t>
      </w:r>
      <w:r>
        <w:rPr>
          <w:rFonts w:hint="eastAsia" w:ascii="Times New Roman" w:hAnsi="Times New Roman"/>
          <w:sz w:val="20"/>
          <w:szCs w:val="20"/>
          <w:lang w:val="en-US" w:eastAsia="zh-CN"/>
        </w:rPr>
        <w:t>RAN4 impacts for RRM measurement prediction</w:t>
      </w:r>
      <w:r>
        <w:rPr>
          <w:rFonts w:hint="eastAsia" w:ascii="Times New Roman" w:hAnsi="Times New Roman"/>
          <w:sz w:val="20"/>
          <w:szCs w:val="20"/>
        </w:rPr>
        <w:t>. The proposals are:</w:t>
      </w:r>
    </w:p>
    <w:p w14:paraId="1611796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cs="Times New Roman"/>
          <w:b/>
          <w:bCs/>
          <w:i/>
          <w:iCs/>
          <w:sz w:val="20"/>
          <w:szCs w:val="20"/>
          <w:highlight w:val="none"/>
          <w:u w:val="none"/>
          <w:lang w:val="en-US" w:eastAsia="zh-CN"/>
        </w:rPr>
      </w:pPr>
      <w:r>
        <w:rPr>
          <w:rFonts w:hint="eastAsia" w:ascii="Times New Roman" w:hAnsi="Times New Roman" w:eastAsia="宋体" w:cs="Times New Roman"/>
          <w:b/>
          <w:bCs/>
          <w:i/>
          <w:iCs/>
          <w:sz w:val="20"/>
          <w:szCs w:val="20"/>
          <w:highlight w:val="none"/>
          <w:u w:val="none"/>
          <w:lang w:val="en-US" w:eastAsia="zh-CN"/>
        </w:rPr>
        <w:t xml:space="preserve">Proposal 1: it is proposed not to consider the time difference between the two reported RSRPs in the definition of relative RSRP accuracy. </w:t>
      </w:r>
      <w:r>
        <w:rPr>
          <w:rFonts w:hint="eastAsia" w:ascii="Times New Roman" w:hAnsi="Times New Roman" w:cs="Times New Roman"/>
          <w:b/>
          <w:bCs/>
          <w:i/>
          <w:iCs/>
          <w:sz w:val="20"/>
          <w:szCs w:val="20"/>
          <w:highlight w:val="none"/>
          <w:u w:val="none"/>
          <w:lang w:val="en-US" w:eastAsia="zh-CN"/>
        </w:rPr>
        <w:t>If needed, t</w:t>
      </w:r>
      <w:r>
        <w:rPr>
          <w:rFonts w:hint="eastAsia" w:ascii="Times New Roman" w:hAnsi="Times New Roman" w:eastAsia="宋体" w:cs="Times New Roman"/>
          <w:b/>
          <w:bCs/>
          <w:i/>
          <w:iCs/>
          <w:sz w:val="20"/>
          <w:szCs w:val="20"/>
          <w:highlight w:val="none"/>
          <w:u w:val="none"/>
          <w:lang w:val="en-US" w:eastAsia="zh-CN"/>
        </w:rPr>
        <w:t>he time difference between the two reported RSRPs</w:t>
      </w:r>
      <w:r>
        <w:rPr>
          <w:rFonts w:hint="eastAsia" w:ascii="Times New Roman" w:hAnsi="Times New Roman" w:cs="Times New Roman"/>
          <w:b/>
          <w:bCs/>
          <w:i/>
          <w:iCs/>
          <w:sz w:val="20"/>
          <w:szCs w:val="20"/>
          <w:highlight w:val="none"/>
          <w:u w:val="none"/>
          <w:lang w:val="en-US" w:eastAsia="zh-CN"/>
        </w:rPr>
        <w:t xml:space="preserve"> can be consdiered in the test design.</w:t>
      </w:r>
    </w:p>
    <w:p w14:paraId="3187BC99">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
          <w:bCs w:val="0"/>
          <w:i/>
          <w:iCs w:val="0"/>
          <w:sz w:val="20"/>
          <w:szCs w:val="20"/>
          <w:u w:val="none"/>
          <w:lang w:val="en-US" w:eastAsia="zh-CN"/>
        </w:rPr>
      </w:pPr>
      <w:r>
        <w:rPr>
          <w:rFonts w:hint="eastAsia" w:ascii="Times New Roman" w:hAnsi="Times New Roman" w:eastAsia="等线" w:cs="Times New Roman"/>
          <w:b/>
          <w:bCs w:val="0"/>
          <w:i/>
          <w:iCs w:val="0"/>
          <w:sz w:val="20"/>
          <w:szCs w:val="20"/>
          <w:u w:val="none"/>
          <w:lang w:val="en-US" w:eastAsia="zh-CN"/>
        </w:rPr>
        <w:t>Proposal 2: it is proposed that the accuracy requirements for predicted RSRP is no less than legacy accuracy requirements.</w:t>
      </w:r>
    </w:p>
    <w:p w14:paraId="453E2631">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sz w:val="20"/>
          <w:szCs w:val="20"/>
        </w:rPr>
      </w:pPr>
      <w:r>
        <w:rPr>
          <w:rFonts w:hint="eastAsia" w:ascii="Times New Roman" w:hAnsi="Times New Roman" w:eastAsia="等线" w:cs="Times New Roman"/>
          <w:b/>
          <w:bCs w:val="0"/>
          <w:i/>
          <w:iCs w:val="0"/>
          <w:sz w:val="20"/>
          <w:szCs w:val="20"/>
          <w:lang w:val="en-US" w:eastAsia="zh-CN"/>
        </w:rPr>
        <w:t>Proposal 3: for impact on measurement error on prediction accuracy, the discussion on beam prediction can be used as baseline. In detail, the BB error can be derived based on link level simulation assumption, and RF error can be modelled as truncated Gaussian distribution.</w:t>
      </w:r>
    </w:p>
    <w:p w14:paraId="7B5F7ABD">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4: for cluster approach, it is proposed to follow RAN2 agreements that model takes measurements from more than one cell as inputs.  For cluster approach, n</w:t>
      </w:r>
      <w:bookmarkStart w:id="9" w:name="_GoBack"/>
      <w:bookmarkEnd w:id="9"/>
      <w:r>
        <w:rPr>
          <w:rFonts w:hint="eastAsia" w:ascii="Times New Roman" w:hAnsi="Times New Roman" w:eastAsia="等线" w:cs="Times New Roman"/>
          <w:b/>
          <w:bCs w:val="0"/>
          <w:i/>
          <w:iCs w:val="0"/>
          <w:sz w:val="20"/>
          <w:szCs w:val="20"/>
          <w:lang w:val="en-US" w:eastAsia="zh-CN"/>
        </w:rPr>
        <w:t>ot to consider the case that measurement from single cell in one carrier frequency is used as an model input.</w:t>
      </w:r>
    </w:p>
    <w:p w14:paraId="32CDCAC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discuss whether to introduce RAN4 requirements about MRRT and MRRS.</w:t>
      </w:r>
    </w:p>
    <w:p w14:paraId="01F1680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RRM measurement prediction, the measurement delay requirements need to be defined/updated</w:t>
      </w:r>
    </w:p>
    <w:p w14:paraId="3A78D463">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6E25B72E">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741998BA">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eastAsia" w:ascii="Times New Roman" w:hAnsi="Times New Roman"/>
          <w:sz w:val="20"/>
          <w:szCs w:val="20"/>
        </w:rPr>
      </w:pPr>
    </w:p>
    <w:p w14:paraId="5F08F1C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3"/>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4EB30149">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R4-2508268</w:t>
      </w:r>
      <w:r>
        <w:rPr>
          <w:rFonts w:hint="eastAsia" w:ascii="Times" w:hAnsi="Times" w:eastAsia="宋体"/>
          <w:b w:val="0"/>
          <w:sz w:val="20"/>
          <w:lang w:val="en-US" w:eastAsia="zh-CN"/>
        </w:rPr>
        <w:t>, WF on AI/ML Mobility Part 1, Nokia</w:t>
      </w:r>
    </w:p>
    <w:p w14:paraId="1464F227">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R4-2504901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4D80BACE">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BA9DC"/>
    <w:multiLevelType w:val="singleLevel"/>
    <w:tmpl w:val="8E9BA9DC"/>
    <w:lvl w:ilvl="0" w:tentative="0">
      <w:start w:val="1"/>
      <w:numFmt w:val="bullet"/>
      <w:lvlText w:val=""/>
      <w:lvlJc w:val="left"/>
      <w:pPr>
        <w:ind w:left="420" w:hanging="420"/>
      </w:pPr>
      <w:rPr>
        <w:rFonts w:hint="default" w:ascii="Wingdings" w:hAnsi="Wingdings"/>
      </w:rPr>
    </w:lvl>
  </w:abstractNum>
  <w:abstractNum w:abstractNumId="1">
    <w:nsid w:val="EA022515"/>
    <w:multiLevelType w:val="singleLevel"/>
    <w:tmpl w:val="EA022515"/>
    <w:lvl w:ilvl="0" w:tentative="0">
      <w:start w:val="1"/>
      <w:numFmt w:val="bullet"/>
      <w:lvlText w:val=""/>
      <w:lvlJc w:val="left"/>
      <w:pPr>
        <w:ind w:left="42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2021533"/>
    <w:multiLevelType w:val="singleLevel"/>
    <w:tmpl w:val="62021533"/>
    <w:lvl w:ilvl="0" w:tentative="0">
      <w:start w:val="1"/>
      <w:numFmt w:val="bullet"/>
      <w:lvlText w:val=""/>
      <w:lvlJc w:val="left"/>
      <w:pPr>
        <w:ind w:left="420" w:hanging="42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3"/>
  </w:num>
  <w:num w:numId="4">
    <w:abstractNumId w:val="5"/>
  </w:num>
  <w:num w:numId="5">
    <w:abstractNumId w:val="0"/>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1EB2D5D"/>
    <w:rsid w:val="030F42DA"/>
    <w:rsid w:val="03237D85"/>
    <w:rsid w:val="039B37C7"/>
    <w:rsid w:val="03B64756"/>
    <w:rsid w:val="05581271"/>
    <w:rsid w:val="05E43E8D"/>
    <w:rsid w:val="064F27F6"/>
    <w:rsid w:val="07FB36A6"/>
    <w:rsid w:val="08320503"/>
    <w:rsid w:val="095F3199"/>
    <w:rsid w:val="0BDA3067"/>
    <w:rsid w:val="0D4032E2"/>
    <w:rsid w:val="103462C0"/>
    <w:rsid w:val="11144517"/>
    <w:rsid w:val="12096398"/>
    <w:rsid w:val="13BE2E36"/>
    <w:rsid w:val="13E54515"/>
    <w:rsid w:val="15127C5A"/>
    <w:rsid w:val="154B4C98"/>
    <w:rsid w:val="1589438A"/>
    <w:rsid w:val="17C90DC6"/>
    <w:rsid w:val="17E27FC0"/>
    <w:rsid w:val="187F1D4D"/>
    <w:rsid w:val="1A98384A"/>
    <w:rsid w:val="1B0C6C17"/>
    <w:rsid w:val="1C6D7577"/>
    <w:rsid w:val="1DE86925"/>
    <w:rsid w:val="1E262080"/>
    <w:rsid w:val="1EA13FCF"/>
    <w:rsid w:val="20A67B9D"/>
    <w:rsid w:val="21B75A90"/>
    <w:rsid w:val="21F229A5"/>
    <w:rsid w:val="226D7508"/>
    <w:rsid w:val="22F84732"/>
    <w:rsid w:val="25BF43FD"/>
    <w:rsid w:val="29521D5A"/>
    <w:rsid w:val="296A6325"/>
    <w:rsid w:val="29EA31D2"/>
    <w:rsid w:val="2A456A43"/>
    <w:rsid w:val="2A9C3DF6"/>
    <w:rsid w:val="2BCA2C0E"/>
    <w:rsid w:val="2DCC054E"/>
    <w:rsid w:val="2EFF4953"/>
    <w:rsid w:val="31B53264"/>
    <w:rsid w:val="32BC3287"/>
    <w:rsid w:val="34357F34"/>
    <w:rsid w:val="35042CC3"/>
    <w:rsid w:val="351D1843"/>
    <w:rsid w:val="360A2438"/>
    <w:rsid w:val="3850290E"/>
    <w:rsid w:val="39A706A6"/>
    <w:rsid w:val="3AD842D3"/>
    <w:rsid w:val="3AF811CC"/>
    <w:rsid w:val="3B3B31B7"/>
    <w:rsid w:val="3FF257A0"/>
    <w:rsid w:val="405B1795"/>
    <w:rsid w:val="41597CC1"/>
    <w:rsid w:val="41872D8F"/>
    <w:rsid w:val="43D91B27"/>
    <w:rsid w:val="44ED5522"/>
    <w:rsid w:val="45251780"/>
    <w:rsid w:val="45260A34"/>
    <w:rsid w:val="462406C5"/>
    <w:rsid w:val="462F1B6A"/>
    <w:rsid w:val="46302433"/>
    <w:rsid w:val="46EB509D"/>
    <w:rsid w:val="47834097"/>
    <w:rsid w:val="486C7D0F"/>
    <w:rsid w:val="48BC1FC7"/>
    <w:rsid w:val="48BD345D"/>
    <w:rsid w:val="49507E2D"/>
    <w:rsid w:val="4AAA7A11"/>
    <w:rsid w:val="4CB30463"/>
    <w:rsid w:val="4F01352B"/>
    <w:rsid w:val="4F76756C"/>
    <w:rsid w:val="4F8C1C3F"/>
    <w:rsid w:val="50AC3D18"/>
    <w:rsid w:val="5140185C"/>
    <w:rsid w:val="521A547C"/>
    <w:rsid w:val="539B5A3F"/>
    <w:rsid w:val="561B4F52"/>
    <w:rsid w:val="56582839"/>
    <w:rsid w:val="56B72852"/>
    <w:rsid w:val="5798278D"/>
    <w:rsid w:val="57A7215B"/>
    <w:rsid w:val="5951002F"/>
    <w:rsid w:val="59A65848"/>
    <w:rsid w:val="5A804E07"/>
    <w:rsid w:val="5AAC5686"/>
    <w:rsid w:val="5C491F27"/>
    <w:rsid w:val="5CF63611"/>
    <w:rsid w:val="5D0E0ADD"/>
    <w:rsid w:val="5DE111B0"/>
    <w:rsid w:val="5E176D14"/>
    <w:rsid w:val="5EE11605"/>
    <w:rsid w:val="5EF17565"/>
    <w:rsid w:val="606210AF"/>
    <w:rsid w:val="617674D6"/>
    <w:rsid w:val="618C531A"/>
    <w:rsid w:val="61DF3A9F"/>
    <w:rsid w:val="676E7F3D"/>
    <w:rsid w:val="67A4673A"/>
    <w:rsid w:val="695006C3"/>
    <w:rsid w:val="69BB3005"/>
    <w:rsid w:val="6A9E35F8"/>
    <w:rsid w:val="6C642F64"/>
    <w:rsid w:val="6CD12293"/>
    <w:rsid w:val="6EF67A1A"/>
    <w:rsid w:val="71997D14"/>
    <w:rsid w:val="71A82806"/>
    <w:rsid w:val="733A10F5"/>
    <w:rsid w:val="73C17630"/>
    <w:rsid w:val="73F67ACD"/>
    <w:rsid w:val="75A5650E"/>
    <w:rsid w:val="764F12E9"/>
    <w:rsid w:val="76926517"/>
    <w:rsid w:val="774F4C00"/>
    <w:rsid w:val="77B91A3C"/>
    <w:rsid w:val="77F160D3"/>
    <w:rsid w:val="79670D3F"/>
    <w:rsid w:val="7AF91DFD"/>
    <w:rsid w:val="7B2C09D1"/>
    <w:rsid w:val="7BC635A1"/>
    <w:rsid w:val="7C07400A"/>
    <w:rsid w:val="7C545210"/>
    <w:rsid w:val="7D67744A"/>
    <w:rsid w:val="7D796C4C"/>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CMCC-RAN4#116</cp:lastModifiedBy>
  <dcterms:modified xsi:type="dcterms:W3CDTF">2025-08-15T09:25:54Z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